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drawings/drawing1.xml" ContentType="application/vnd.openxmlformats-officedocument.drawingml.chartshap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80" w:rsidRDefault="00B034A6" w:rsidP="00B034A6">
      <w:pPr>
        <w:jc w:val="center"/>
        <w:rPr>
          <w:color w:val="0070C0"/>
        </w:rPr>
      </w:pPr>
      <w:r w:rsidRPr="00B034A6">
        <w:rPr>
          <w:color w:val="0070C0"/>
        </w:rPr>
        <w:t>ФИНАНСОВЫЙ   МЕНЕДЖМЕНТ</w:t>
      </w:r>
    </w:p>
    <w:p w:rsidR="00B034A6" w:rsidRDefault="00B034A6" w:rsidP="00B034A6">
      <w:pPr>
        <w:jc w:val="left"/>
        <w:rPr>
          <w:color w:val="0070C0"/>
        </w:rPr>
      </w:pPr>
    </w:p>
    <w:p w:rsidR="00B034A6" w:rsidRPr="00B034A6" w:rsidRDefault="00B034A6" w:rsidP="00B034A6">
      <w:pPr>
        <w:jc w:val="both"/>
      </w:pPr>
      <w:r>
        <w:rPr>
          <w:color w:val="0070C0"/>
        </w:rPr>
        <w:tab/>
      </w:r>
      <w:r w:rsidRPr="00B034A6">
        <w:t>На основе результатов мониторинга качества финансового менеджмента, осуществляемого главными распорядителями бюджетных средств, главными администраторами доходов бюджета муниципального образования «Тайшетский район», составляется рейтинг главных администраторов бюджетных средств</w:t>
      </w:r>
      <w:r w:rsidR="00135FEE">
        <w:t xml:space="preserve"> (далее – ГАБС)</w:t>
      </w:r>
      <w:r w:rsidRPr="00B034A6">
        <w:t>.</w:t>
      </w:r>
    </w:p>
    <w:p w:rsidR="00B034A6" w:rsidRDefault="00B034A6" w:rsidP="00B034A6">
      <w:pPr>
        <w:jc w:val="both"/>
      </w:pPr>
      <w:r w:rsidRPr="00B034A6">
        <w:tab/>
        <w:t>Качество финансового менеджмента ГАБС зависит от организации ГАБС процедур бюджетного планирования, исполнения бюджета, ведения</w:t>
      </w:r>
      <w:r>
        <w:t xml:space="preserve"> бюджетного учета, составления и представления бюджетной отчетности, проведения финансового контроля.</w:t>
      </w:r>
    </w:p>
    <w:p w:rsidR="00437E10" w:rsidRDefault="00437E10" w:rsidP="00B034A6">
      <w:pPr>
        <w:jc w:val="both"/>
      </w:pPr>
      <w:r>
        <w:tab/>
        <w:t>Мониторинг проводится в соответствии с Порядком проведения мониторинга качества финансового менеджмента главных распорядителей бюджетных средств, главных администраторов доходов бюджета муниципального образования «Тайшетский район», утвержденным постановлением администрации Тайшетского района от 31.08.2016 года № 291.</w:t>
      </w:r>
    </w:p>
    <w:p w:rsidR="00437E10" w:rsidRDefault="00437E10" w:rsidP="00B034A6">
      <w:pPr>
        <w:jc w:val="both"/>
      </w:pPr>
      <w:r>
        <w:tab/>
      </w:r>
    </w:p>
    <w:p w:rsidR="00437E10" w:rsidRDefault="00437E10" w:rsidP="00B034A6">
      <w:pPr>
        <w:jc w:val="both"/>
      </w:pPr>
      <w:r>
        <w:tab/>
        <w:t>Годовая оценка проводится по следующим направлениям:</w:t>
      </w:r>
    </w:p>
    <w:p w:rsidR="00437E10" w:rsidRDefault="00437E10" w:rsidP="00B034A6">
      <w:pPr>
        <w:jc w:val="both"/>
      </w:pPr>
      <w:r>
        <w:tab/>
        <w:t>- формирование бюджета;</w:t>
      </w:r>
    </w:p>
    <w:p w:rsidR="00437E10" w:rsidRDefault="00437E10" w:rsidP="00B034A6">
      <w:pPr>
        <w:jc w:val="both"/>
      </w:pPr>
      <w:r>
        <w:tab/>
        <w:t>- исполнение бюджета в части доходов и расходов;</w:t>
      </w:r>
    </w:p>
    <w:p w:rsidR="00437E10" w:rsidRDefault="00437E10" w:rsidP="00B034A6">
      <w:pPr>
        <w:jc w:val="both"/>
      </w:pPr>
      <w:r>
        <w:tab/>
        <w:t>- учет и отчетность;</w:t>
      </w:r>
    </w:p>
    <w:p w:rsidR="00437E10" w:rsidRDefault="00437E10" w:rsidP="00B034A6">
      <w:pPr>
        <w:jc w:val="both"/>
      </w:pPr>
      <w:r>
        <w:tab/>
        <w:t>- организация контроля.</w:t>
      </w:r>
    </w:p>
    <w:p w:rsidR="00437E10" w:rsidRDefault="00437E10" w:rsidP="00B034A6">
      <w:pPr>
        <w:jc w:val="both"/>
      </w:pPr>
    </w:p>
    <w:p w:rsidR="00437E10" w:rsidRPr="00B034A6" w:rsidRDefault="00437E10" w:rsidP="00B034A6">
      <w:pPr>
        <w:jc w:val="both"/>
      </w:pPr>
      <w:r>
        <w:tab/>
        <w:t>Итоговая оценка по ГАБС оценивается по 5 – балльной шкале.</w:t>
      </w:r>
    </w:p>
    <w:p w:rsidR="00DB4B85" w:rsidRDefault="00DB4B85">
      <w:pPr>
        <w:jc w:val="left"/>
      </w:pPr>
      <w:r>
        <w:t xml:space="preserve"> </w:t>
      </w:r>
    </w:p>
    <w:p w:rsidR="00B034A6" w:rsidRPr="00DB4B85" w:rsidRDefault="00712F4E" w:rsidP="001C7D7F">
      <w:pPr>
        <w:jc w:val="center"/>
        <w:rPr>
          <w:color w:val="244061" w:themeColor="accent1" w:themeShade="80"/>
          <w:sz w:val="24"/>
          <w:szCs w:val="24"/>
        </w:rPr>
      </w:pPr>
      <w:r w:rsidRPr="00DB4B85">
        <w:rPr>
          <w:color w:val="244061" w:themeColor="accent1" w:themeShade="80"/>
          <w:sz w:val="24"/>
          <w:szCs w:val="24"/>
        </w:rPr>
        <w:t>Рейтинг</w:t>
      </w:r>
      <w:r w:rsidR="00DB4B85" w:rsidRPr="00DB4B85">
        <w:rPr>
          <w:color w:val="244061" w:themeColor="accent1" w:themeShade="80"/>
          <w:sz w:val="24"/>
          <w:szCs w:val="24"/>
        </w:rPr>
        <w:t xml:space="preserve"> за </w:t>
      </w:r>
      <w:r w:rsidR="001A1540" w:rsidRPr="00DB4B85">
        <w:rPr>
          <w:color w:val="244061" w:themeColor="accent1" w:themeShade="80"/>
          <w:sz w:val="24"/>
          <w:szCs w:val="24"/>
        </w:rPr>
        <w:t>201</w:t>
      </w:r>
      <w:r w:rsidR="006B70C4">
        <w:rPr>
          <w:color w:val="244061" w:themeColor="accent1" w:themeShade="80"/>
          <w:sz w:val="24"/>
          <w:szCs w:val="24"/>
          <w:lang w:val="en-US"/>
        </w:rPr>
        <w:t>9</w:t>
      </w:r>
      <w:r w:rsidR="001A1540" w:rsidRPr="00DB4B85">
        <w:rPr>
          <w:color w:val="244061" w:themeColor="accent1" w:themeShade="80"/>
          <w:sz w:val="24"/>
          <w:szCs w:val="24"/>
        </w:rPr>
        <w:t xml:space="preserve"> год</w:t>
      </w:r>
    </w:p>
    <w:p w:rsidR="00B72C95" w:rsidRPr="00DB4B85" w:rsidRDefault="00B72C95">
      <w:pPr>
        <w:jc w:val="left"/>
        <w:rPr>
          <w:color w:val="244061" w:themeColor="accent1" w:themeShade="80"/>
        </w:rPr>
      </w:pPr>
    </w:p>
    <w:p w:rsidR="00FD0C46" w:rsidRPr="00B034A6" w:rsidRDefault="00D552A7">
      <w:pPr>
        <w:jc w:val="left"/>
      </w:pPr>
      <w:r>
        <w:rPr>
          <w:noProof/>
          <w:lang w:eastAsia="ru-RU"/>
        </w:rPr>
        <w:lastRenderedPageBreak/>
        <w:drawing>
          <wp:inline distT="0" distB="0" distL="0" distR="0" wp14:anchorId="28F606E5" wp14:editId="46043596">
            <wp:extent cx="6490335" cy="8858250"/>
            <wp:effectExtent l="0" t="0" r="0" b="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  <w:bookmarkStart w:id="0" w:name="_GoBack"/>
      <w:bookmarkEnd w:id="0"/>
    </w:p>
    <w:sectPr w:rsidR="00FD0C46" w:rsidRPr="00B034A6" w:rsidSect="009428D7">
      <w:pgSz w:w="11906" w:h="16838"/>
      <w:pgMar w:top="1134" w:right="424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034A6"/>
    <w:rsid w:val="00135FEE"/>
    <w:rsid w:val="001611C4"/>
    <w:rsid w:val="001A1540"/>
    <w:rsid w:val="001C7D7F"/>
    <w:rsid w:val="003511DB"/>
    <w:rsid w:val="00437E10"/>
    <w:rsid w:val="004513F9"/>
    <w:rsid w:val="00482266"/>
    <w:rsid w:val="00540DC6"/>
    <w:rsid w:val="00576BF3"/>
    <w:rsid w:val="006015F7"/>
    <w:rsid w:val="006B70C4"/>
    <w:rsid w:val="00712F4E"/>
    <w:rsid w:val="007601AE"/>
    <w:rsid w:val="00867E07"/>
    <w:rsid w:val="009428D7"/>
    <w:rsid w:val="009F4AB3"/>
    <w:rsid w:val="00A37E5D"/>
    <w:rsid w:val="00AA07C0"/>
    <w:rsid w:val="00B034A6"/>
    <w:rsid w:val="00B35032"/>
    <w:rsid w:val="00B72C95"/>
    <w:rsid w:val="00B8171F"/>
    <w:rsid w:val="00CC0B8D"/>
    <w:rsid w:val="00CC1C45"/>
    <w:rsid w:val="00D22480"/>
    <w:rsid w:val="00D552A7"/>
    <w:rsid w:val="00D6115D"/>
    <w:rsid w:val="00DB4B85"/>
    <w:rsid w:val="00DF0795"/>
    <w:rsid w:val="00E2112C"/>
    <w:rsid w:val="00F74715"/>
    <w:rsid w:val="00FD0C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F27BAA5-60B6-4C3B-A27E-3B4A09C00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right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24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D0C4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D0C4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5721090207235547"/>
          <c:y val="2.0906569143312053E-2"/>
          <c:w val="0.72623545513600918"/>
          <c:h val="0.90116754363050589"/>
        </c:manualLayout>
      </c:layout>
      <c:barChart>
        <c:barDir val="bar"/>
        <c:grouping val="stacked"/>
        <c:varyColors val="0"/>
        <c:ser>
          <c:idx val="0"/>
          <c:order val="0"/>
          <c:tx>
            <c:strRef>
              <c:f>Лист1!$B$5</c:f>
              <c:strCache>
                <c:ptCount val="1"/>
                <c:pt idx="0">
                  <c:v>Формирование бюджета</c:v>
                </c:pt>
              </c:strCache>
            </c:strRef>
          </c:tx>
          <c:spPr>
            <a:solidFill>
              <a:srgbClr val="FF000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Отдел по предоставлению  гражданам субсидий на оплату жилья и коммунальных услуг</c:v>
                </c:pt>
                <c:pt idx="2">
                  <c:v>Служба гражданской обороны и предупреждения чрезвычайных ситуаций</c:v>
                </c:pt>
                <c:pt idx="3">
                  <c:v>Контрольно-счетна палата района</c:v>
                </c:pt>
                <c:pt idx="4">
                  <c:v>Финансовое уаравление</c:v>
                </c:pt>
                <c:pt idx="5">
                  <c:v>Дума района</c:v>
                </c:pt>
                <c:pt idx="6">
                  <c:v>Управление культуры, спорта и молодежной политики</c:v>
                </c:pt>
                <c:pt idx="7">
                  <c:v>Управление образования</c:v>
                </c:pt>
                <c:pt idx="8">
                  <c:v>Администрация района </c:v>
                </c:pt>
              </c:strCache>
            </c:strRef>
          </c:cat>
          <c:val>
            <c:numRef>
              <c:f>Лист1!$C$5:$K$5</c:f>
              <c:numCache>
                <c:formatCode>_-* #,##0.00_р_._-;\-* #,##0.00_р_._-;_-* "-"??_р_._-;_-@_-</c:formatCode>
                <c:ptCount val="9"/>
                <c:pt idx="0">
                  <c:v>1.5</c:v>
                </c:pt>
                <c:pt idx="1">
                  <c:v>2.33</c:v>
                </c:pt>
                <c:pt idx="2">
                  <c:v>2</c:v>
                </c:pt>
                <c:pt idx="3">
                  <c:v>2</c:v>
                </c:pt>
                <c:pt idx="4">
                  <c:v>2.17</c:v>
                </c:pt>
                <c:pt idx="5">
                  <c:v>2</c:v>
                </c:pt>
                <c:pt idx="6">
                  <c:v>1.67</c:v>
                </c:pt>
                <c:pt idx="7">
                  <c:v>1.5</c:v>
                </c:pt>
                <c:pt idx="8">
                  <c:v>2.33</c:v>
                </c:pt>
              </c:numCache>
            </c:numRef>
          </c:val>
        </c:ser>
        <c:ser>
          <c:idx val="1"/>
          <c:order val="1"/>
          <c:tx>
            <c:strRef>
              <c:f>Лист1!$B$6</c:f>
              <c:strCache>
                <c:ptCount val="1"/>
                <c:pt idx="0">
                  <c:v>Исполнение бюджета в части доходов и расходов</c:v>
                </c:pt>
              </c:strCache>
            </c:strRef>
          </c:tx>
          <c:spPr>
            <a:solidFill>
              <a:srgbClr val="00B05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Отдел по предоставлению  гражданам субсидий на оплату жилья и коммунальных услуг</c:v>
                </c:pt>
                <c:pt idx="2">
                  <c:v>Служба гражданской обороны и предупреждения чрезвычайных ситуаций</c:v>
                </c:pt>
                <c:pt idx="3">
                  <c:v>Контрольно-счетна палата района</c:v>
                </c:pt>
                <c:pt idx="4">
                  <c:v>Финансовое уаравление</c:v>
                </c:pt>
                <c:pt idx="5">
                  <c:v>Дума района</c:v>
                </c:pt>
                <c:pt idx="6">
                  <c:v>Управление культуры, спорта и молодежной политики</c:v>
                </c:pt>
                <c:pt idx="7">
                  <c:v>Управление образования</c:v>
                </c:pt>
                <c:pt idx="8">
                  <c:v>Администрация района </c:v>
                </c:pt>
              </c:strCache>
            </c:strRef>
          </c:cat>
          <c:val>
            <c:numRef>
              <c:f>Лист1!$C$6:$K$6</c:f>
              <c:numCache>
                <c:formatCode>_-* #,##0.00_р_._-;\-* #,##0.00_р_._-;_-* "-"??_р_._-;_-@_-</c:formatCode>
                <c:ptCount val="9"/>
                <c:pt idx="0">
                  <c:v>2.5</c:v>
                </c:pt>
                <c:pt idx="1">
                  <c:v>3.5</c:v>
                </c:pt>
                <c:pt idx="2">
                  <c:v>4.67</c:v>
                </c:pt>
                <c:pt idx="3">
                  <c:v>4</c:v>
                </c:pt>
                <c:pt idx="4">
                  <c:v>4</c:v>
                </c:pt>
                <c:pt idx="5">
                  <c:v>4.33</c:v>
                </c:pt>
                <c:pt idx="6">
                  <c:v>4.67</c:v>
                </c:pt>
                <c:pt idx="7">
                  <c:v>4.83</c:v>
                </c:pt>
                <c:pt idx="8">
                  <c:v>4.67</c:v>
                </c:pt>
              </c:numCache>
            </c:numRef>
          </c:val>
        </c:ser>
        <c:ser>
          <c:idx val="2"/>
          <c:order val="2"/>
          <c:tx>
            <c:strRef>
              <c:f>Лист1!$B$7</c:f>
              <c:strCache>
                <c:ptCount val="1"/>
                <c:pt idx="0">
                  <c:v>Учет и отчетность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Отдел по предоставлению  гражданам субсидий на оплату жилья и коммунальных услуг</c:v>
                </c:pt>
                <c:pt idx="2">
                  <c:v>Служба гражданской обороны и предупреждения чрезвычайных ситуаций</c:v>
                </c:pt>
                <c:pt idx="3">
                  <c:v>Контрольно-счетна палата района</c:v>
                </c:pt>
                <c:pt idx="4">
                  <c:v>Финансовое уаравление</c:v>
                </c:pt>
                <c:pt idx="5">
                  <c:v>Дума района</c:v>
                </c:pt>
                <c:pt idx="6">
                  <c:v>Управление культуры, спорта и молодежной политики</c:v>
                </c:pt>
                <c:pt idx="7">
                  <c:v>Управление образования</c:v>
                </c:pt>
                <c:pt idx="8">
                  <c:v>Администрация района </c:v>
                </c:pt>
              </c:strCache>
            </c:strRef>
          </c:cat>
          <c:val>
            <c:numRef>
              <c:f>Лист1!$C$7:$K$7</c:f>
              <c:numCache>
                <c:formatCode>_-* #,##0.00_р_._-;\-* #,##0.00_р_._-;_-* "-"??_р_._-;_-@_-</c:formatCode>
                <c:ptCount val="9"/>
                <c:pt idx="0">
                  <c:v>4.83</c:v>
                </c:pt>
                <c:pt idx="1">
                  <c:v>3.33</c:v>
                </c:pt>
                <c:pt idx="2">
                  <c:v>3.33</c:v>
                </c:pt>
                <c:pt idx="3">
                  <c:v>4.17</c:v>
                </c:pt>
                <c:pt idx="4">
                  <c:v>4.17</c:v>
                </c:pt>
                <c:pt idx="5">
                  <c:v>4.17</c:v>
                </c:pt>
                <c:pt idx="6">
                  <c:v>4.8600000000000003</c:v>
                </c:pt>
                <c:pt idx="7">
                  <c:v>4.8600000000000003</c:v>
                </c:pt>
                <c:pt idx="8">
                  <c:v>4.83</c:v>
                </c:pt>
              </c:numCache>
            </c:numRef>
          </c:val>
        </c:ser>
        <c:ser>
          <c:idx val="3"/>
          <c:order val="3"/>
          <c:tx>
            <c:strRef>
              <c:f>Лист1!$B$8</c:f>
              <c:strCache>
                <c:ptCount val="1"/>
                <c:pt idx="0">
                  <c:v>Организация контроля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Лист1!$C$4:$K$4</c:f>
              <c:strCache>
                <c:ptCount val="9"/>
                <c:pt idx="0">
                  <c:v>Комитет по управлению муниципальныи имуществом, строительству, архитектуре и жилищно-коммунальному хозяйству</c:v>
                </c:pt>
                <c:pt idx="1">
                  <c:v>Отдел по предоставлению  гражданам субсидий на оплату жилья и коммунальных услуг</c:v>
                </c:pt>
                <c:pt idx="2">
                  <c:v>Служба гражданской обороны и предупреждения чрезвычайных ситуаций</c:v>
                </c:pt>
                <c:pt idx="3">
                  <c:v>Контрольно-счетна палата района</c:v>
                </c:pt>
                <c:pt idx="4">
                  <c:v>Финансовое уаравление</c:v>
                </c:pt>
                <c:pt idx="5">
                  <c:v>Дума района</c:v>
                </c:pt>
                <c:pt idx="6">
                  <c:v>Управление культуры, спорта и молодежной политики</c:v>
                </c:pt>
                <c:pt idx="7">
                  <c:v>Управление образования</c:v>
                </c:pt>
                <c:pt idx="8">
                  <c:v>Администрация района </c:v>
                </c:pt>
              </c:strCache>
            </c:strRef>
          </c:cat>
          <c:val>
            <c:numRef>
              <c:f>Лист1!$C$8:$K$8</c:f>
              <c:numCache>
                <c:formatCode>_-* #,##0.00_р_._-;\-* #,##0.00_р_._-;_-* "-"??_р_._-;_-@_-</c:formatCode>
                <c:ptCount val="9"/>
                <c:pt idx="0">
                  <c:v>5</c:v>
                </c:pt>
                <c:pt idx="1">
                  <c:v>5</c:v>
                </c:pt>
                <c:pt idx="2">
                  <c:v>5</c:v>
                </c:pt>
                <c:pt idx="3">
                  <c:v>5</c:v>
                </c:pt>
                <c:pt idx="4">
                  <c:v>5</c:v>
                </c:pt>
                <c:pt idx="5">
                  <c:v>5</c:v>
                </c:pt>
                <c:pt idx="6">
                  <c:v>5</c:v>
                </c:pt>
                <c:pt idx="7">
                  <c:v>5</c:v>
                </c:pt>
                <c:pt idx="8">
                  <c:v>5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overlap val="100"/>
        <c:axId val="314245920"/>
        <c:axId val="314256800"/>
      </c:barChart>
      <c:catAx>
        <c:axId val="31424592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crossAx val="314256800"/>
        <c:crosses val="autoZero"/>
        <c:auto val="1"/>
        <c:lblAlgn val="ctr"/>
        <c:lblOffset val="100"/>
        <c:tickLblSkip val="1"/>
        <c:noMultiLvlLbl val="0"/>
      </c:catAx>
      <c:valAx>
        <c:axId val="314256800"/>
        <c:scaling>
          <c:orientation val="minMax"/>
        </c:scaling>
        <c:delete val="1"/>
        <c:axPos val="b"/>
        <c:numFmt formatCode="#,##0" sourceLinked="0"/>
        <c:majorTickMark val="out"/>
        <c:minorTickMark val="none"/>
        <c:tickLblPos val="none"/>
        <c:crossAx val="314245920"/>
        <c:crosses val="autoZero"/>
        <c:crossBetween val="between"/>
      </c:valAx>
    </c:plotArea>
    <c:legend>
      <c:legendPos val="b"/>
      <c:overlay val="0"/>
    </c:legend>
    <c:plotVisOnly val="1"/>
    <c:dispBlanksAs val="gap"/>
    <c:showDLblsOverMax val="0"/>
  </c:chart>
  <c:spPr>
    <a:solidFill>
      <a:schemeClr val="lt1"/>
    </a:solidFill>
    <a:ln w="25400" cap="flat" cmpd="sng" algn="ctr">
      <a:solidFill>
        <a:schemeClr val="accent1"/>
      </a:solidFill>
      <a:prstDash val="solid"/>
    </a:ln>
    <a:effectLst/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ru-RU"/>
    </a:p>
  </c:txPr>
  <c:externalData r:id="rId1">
    <c:autoUpdate val="0"/>
  </c:externalData>
  <c:userShapes r:id="rId2"/>
</c:chartSpace>
</file>

<file path=word/drawings/_rels/drawing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png"/></Relationships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0.93924</cdr:x>
      <cdr:y>0.04709</cdr:y>
    </cdr:from>
    <cdr:to>
      <cdr:x>0.98765</cdr:x>
      <cdr:y>0.08388</cdr:y>
    </cdr:to>
    <cdr:sp macro="" textlink="">
      <cdr:nvSpPr>
        <cdr:cNvPr id="12" name="TextBox 11"/>
        <cdr:cNvSpPr txBox="1"/>
      </cdr:nvSpPr>
      <cdr:spPr>
        <a:xfrm xmlns:a="http://schemas.openxmlformats.org/drawingml/2006/main">
          <a:off x="6096000" y="417135"/>
          <a:ext cx="314207" cy="32589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vertOverflow="clip" wrap="none" rtlCol="0"/>
        <a:lstStyle xmlns:a="http://schemas.openxmlformats.org/drawingml/2006/main"/>
        <a:p xmlns:a="http://schemas.openxmlformats.org/drawingml/2006/main">
          <a:r>
            <a:rPr lang="ru-RU" sz="1100"/>
            <a:t>4,19</a:t>
          </a:r>
        </a:p>
      </cdr:txBody>
    </cdr:sp>
  </cdr:relSizeAnchor>
  <cdr:relSizeAnchor xmlns:cdr="http://schemas.openxmlformats.org/drawingml/2006/chartDrawing">
    <cdr:from>
      <cdr:x>0</cdr:x>
      <cdr:y>0</cdr:y>
    </cdr:from>
    <cdr:to>
      <cdr:x>0.00236</cdr:x>
      <cdr:y>0.00367</cdr:y>
    </cdr:to>
    <cdr:pic>
      <cdr:nvPicPr>
        <cdr:cNvPr id="5" name="chart"/>
        <cdr:cNvPicPr>
          <a:picLocks xmlns:a="http://schemas.openxmlformats.org/drawingml/2006/main" noChangeAspect="1"/>
        </cdr:cNvPicPr>
      </cdr:nvPicPr>
      <cdr:blipFill>
        <a:blip xmlns:a="http://schemas.openxmlformats.org/drawingml/2006/main" xmlns:r="http://schemas.openxmlformats.org/officeDocument/2006/relationships" r:embed="rId1"/>
        <a:stretch xmlns:a="http://schemas.openxmlformats.org/drawingml/2006/main">
          <a:fillRect/>
        </a:stretch>
      </cdr:blipFill>
      <cdr:spPr>
        <a:xfrm xmlns:a="http://schemas.openxmlformats.org/drawingml/2006/main">
          <a:off x="0" y="0"/>
          <a:ext cx="24386" cy="24386"/>
        </a:xfrm>
        <a:prstGeom xmlns:a="http://schemas.openxmlformats.org/drawingml/2006/main" prst="rect">
          <a:avLst/>
        </a:prstGeom>
      </cdr:spPr>
    </cdr:pic>
  </cdr:relSizeAnchor>
  <cdr:relSizeAnchor xmlns:cdr="http://schemas.openxmlformats.org/drawingml/2006/chartDrawing">
    <cdr:from>
      <cdr:x>0.91576</cdr:x>
      <cdr:y>0.14839</cdr:y>
    </cdr:from>
    <cdr:to>
      <cdr:x>0.98474</cdr:x>
      <cdr:y>0.18817</cdr:y>
    </cdr:to>
    <cdr:sp macro="" textlink="">
      <cdr:nvSpPr>
        <cdr:cNvPr id="7" name="TextBox 1"/>
        <cdr:cNvSpPr txBox="1"/>
      </cdr:nvSpPr>
      <cdr:spPr>
        <a:xfrm xmlns:a="http://schemas.openxmlformats.org/drawingml/2006/main">
          <a:off x="5943599" y="1314450"/>
          <a:ext cx="447676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4,04</a:t>
          </a:r>
        </a:p>
      </cdr:txBody>
    </cdr:sp>
  </cdr:relSizeAnchor>
  <cdr:relSizeAnchor xmlns:cdr="http://schemas.openxmlformats.org/drawingml/2006/chartDrawing">
    <cdr:from>
      <cdr:x>0.92163</cdr:x>
      <cdr:y>0.24946</cdr:y>
    </cdr:from>
    <cdr:to>
      <cdr:x>0.99354</cdr:x>
      <cdr:y>0.29032</cdr:y>
    </cdr:to>
    <cdr:sp macro="" textlink="">
      <cdr:nvSpPr>
        <cdr:cNvPr id="8" name="TextBox 1"/>
        <cdr:cNvSpPr txBox="1"/>
      </cdr:nvSpPr>
      <cdr:spPr>
        <a:xfrm xmlns:a="http://schemas.openxmlformats.org/drawingml/2006/main">
          <a:off x="5981699" y="2209800"/>
          <a:ext cx="466725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4,03</a:t>
          </a:r>
        </a:p>
      </cdr:txBody>
    </cdr:sp>
  </cdr:relSizeAnchor>
  <cdr:relSizeAnchor xmlns:cdr="http://schemas.openxmlformats.org/drawingml/2006/chartDrawing">
    <cdr:from>
      <cdr:x>0.82477</cdr:x>
      <cdr:y>0.85161</cdr:y>
    </cdr:from>
    <cdr:to>
      <cdr:x>0.90255</cdr:x>
      <cdr:y>0.8914</cdr:y>
    </cdr:to>
    <cdr:sp macro="" textlink="">
      <cdr:nvSpPr>
        <cdr:cNvPr id="9" name="TextBox 1"/>
        <cdr:cNvSpPr txBox="1"/>
      </cdr:nvSpPr>
      <cdr:spPr>
        <a:xfrm xmlns:a="http://schemas.openxmlformats.org/drawingml/2006/main">
          <a:off x="5353050" y="7543801"/>
          <a:ext cx="504825" cy="35242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3,33</a:t>
          </a:r>
        </a:p>
      </cdr:txBody>
    </cdr:sp>
  </cdr:relSizeAnchor>
  <cdr:relSizeAnchor xmlns:cdr="http://schemas.openxmlformats.org/drawingml/2006/chartDrawing">
    <cdr:from>
      <cdr:x>0.88893</cdr:x>
      <cdr:y>0.34946</cdr:y>
    </cdr:from>
    <cdr:to>
      <cdr:x>0.95685</cdr:x>
      <cdr:y>0.39032</cdr:y>
    </cdr:to>
    <cdr:sp macro="" textlink="">
      <cdr:nvSpPr>
        <cdr:cNvPr id="10" name="TextBox 1"/>
        <cdr:cNvSpPr txBox="1"/>
      </cdr:nvSpPr>
      <cdr:spPr>
        <a:xfrm xmlns:a="http://schemas.openxmlformats.org/drawingml/2006/main">
          <a:off x="5769450" y="3095625"/>
          <a:ext cx="440850" cy="36195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3,84</a:t>
          </a:r>
        </a:p>
      </cdr:txBody>
    </cdr:sp>
  </cdr:relSizeAnchor>
  <cdr:relSizeAnchor xmlns:cdr="http://schemas.openxmlformats.org/drawingml/2006/chartDrawing">
    <cdr:from>
      <cdr:x>0.83945</cdr:x>
      <cdr:y>0.74946</cdr:y>
    </cdr:from>
    <cdr:to>
      <cdr:x>0.92457</cdr:x>
      <cdr:y>0.79247</cdr:y>
    </cdr:to>
    <cdr:sp macro="" textlink="">
      <cdr:nvSpPr>
        <cdr:cNvPr id="11" name="TextBox 1"/>
        <cdr:cNvSpPr txBox="1"/>
      </cdr:nvSpPr>
      <cdr:spPr>
        <a:xfrm xmlns:a="http://schemas.openxmlformats.org/drawingml/2006/main">
          <a:off x="5448300" y="6638925"/>
          <a:ext cx="552450" cy="38100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3,47</a:t>
          </a:r>
        </a:p>
      </cdr:txBody>
    </cdr:sp>
  </cdr:relSizeAnchor>
  <cdr:relSizeAnchor xmlns:cdr="http://schemas.openxmlformats.org/drawingml/2006/chartDrawing">
    <cdr:from>
      <cdr:x>0.88348</cdr:x>
      <cdr:y>0.45054</cdr:y>
    </cdr:from>
    <cdr:to>
      <cdr:x>0.95245</cdr:x>
      <cdr:y>0.49032</cdr:y>
    </cdr:to>
    <cdr:sp macro="" textlink="">
      <cdr:nvSpPr>
        <cdr:cNvPr id="13" name="TextBox 1"/>
        <cdr:cNvSpPr txBox="1"/>
      </cdr:nvSpPr>
      <cdr:spPr>
        <a:xfrm xmlns:a="http://schemas.openxmlformats.org/drawingml/2006/main">
          <a:off x="5734050" y="3990974"/>
          <a:ext cx="447675" cy="3524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3,78</a:t>
          </a:r>
        </a:p>
      </cdr:txBody>
    </cdr:sp>
  </cdr:relSizeAnchor>
  <cdr:relSizeAnchor xmlns:cdr="http://schemas.openxmlformats.org/drawingml/2006/chartDrawing">
    <cdr:from>
      <cdr:x>0.8776</cdr:x>
      <cdr:y>0.54946</cdr:y>
    </cdr:from>
    <cdr:to>
      <cdr:x>0.94952</cdr:x>
      <cdr:y>0.59032</cdr:y>
    </cdr:to>
    <cdr:sp macro="" textlink="">
      <cdr:nvSpPr>
        <cdr:cNvPr id="15" name="TextBox 1"/>
        <cdr:cNvSpPr txBox="1"/>
      </cdr:nvSpPr>
      <cdr:spPr>
        <a:xfrm xmlns:a="http://schemas.openxmlformats.org/drawingml/2006/main">
          <a:off x="5695949" y="4867275"/>
          <a:ext cx="466726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3,74</a:t>
          </a:r>
        </a:p>
      </cdr:txBody>
    </cdr:sp>
  </cdr:relSizeAnchor>
  <cdr:relSizeAnchor xmlns:cdr="http://schemas.openxmlformats.org/drawingml/2006/chartDrawing">
    <cdr:from>
      <cdr:x>0.87027</cdr:x>
      <cdr:y>0.64839</cdr:y>
    </cdr:from>
    <cdr:to>
      <cdr:x>0.94658</cdr:x>
      <cdr:y>0.68925</cdr:y>
    </cdr:to>
    <cdr:sp macro="" textlink="">
      <cdr:nvSpPr>
        <cdr:cNvPr id="16" name="TextBox 1"/>
        <cdr:cNvSpPr txBox="1"/>
      </cdr:nvSpPr>
      <cdr:spPr>
        <a:xfrm xmlns:a="http://schemas.openxmlformats.org/drawingml/2006/main">
          <a:off x="5648325" y="5743575"/>
          <a:ext cx="495300" cy="3619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>
          <a:lvl1pPr marL="0" indent="0">
            <a:defRPr sz="1100">
              <a:latin typeface="Calibri"/>
            </a:defRPr>
          </a:lvl1pPr>
          <a:lvl2pPr marL="457200" indent="0">
            <a:defRPr sz="1100">
              <a:latin typeface="Calibri"/>
            </a:defRPr>
          </a:lvl2pPr>
          <a:lvl3pPr marL="914400" indent="0">
            <a:defRPr sz="1100">
              <a:latin typeface="Calibri"/>
            </a:defRPr>
          </a:lvl3pPr>
          <a:lvl4pPr marL="1371600" indent="0">
            <a:defRPr sz="1100">
              <a:latin typeface="Calibri"/>
            </a:defRPr>
          </a:lvl4pPr>
          <a:lvl5pPr marL="1828800" indent="0">
            <a:defRPr sz="1100">
              <a:latin typeface="Calibri"/>
            </a:defRPr>
          </a:lvl5pPr>
          <a:lvl6pPr marL="2286000" indent="0">
            <a:defRPr sz="1100">
              <a:latin typeface="Calibri"/>
            </a:defRPr>
          </a:lvl6pPr>
          <a:lvl7pPr marL="2743200" indent="0">
            <a:defRPr sz="1100">
              <a:latin typeface="Calibri"/>
            </a:defRPr>
          </a:lvl7pPr>
          <a:lvl8pPr marL="3200400" indent="0">
            <a:defRPr sz="1100">
              <a:latin typeface="Calibri"/>
            </a:defRPr>
          </a:lvl8pPr>
          <a:lvl9pPr marL="3657600" indent="0">
            <a:defRPr sz="1100">
              <a:latin typeface="Calibri"/>
            </a:defRPr>
          </a:lvl9pPr>
        </a:lstStyle>
        <a:p xmlns:a="http://schemas.openxmlformats.org/drawingml/2006/main">
          <a:r>
            <a:rPr lang="ru-RU" sz="1100"/>
            <a:t>3,73</a:t>
          </a: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126F90-4F77-4CD4-AA6A-25175AA8D8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2</Pages>
  <Words>169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Финуправление</dc:creator>
  <cp:keywords/>
  <dc:description/>
  <cp:lastModifiedBy>Финуправление</cp:lastModifiedBy>
  <cp:revision>24</cp:revision>
  <dcterms:created xsi:type="dcterms:W3CDTF">2017-03-30T07:51:00Z</dcterms:created>
  <dcterms:modified xsi:type="dcterms:W3CDTF">2020-05-28T05:39:00Z</dcterms:modified>
</cp:coreProperties>
</file>